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7CF62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554C5"/>
          <w:sz w:val="26"/>
          <w:szCs w:val="26"/>
          <w:lang w:val="en-US"/>
        </w:rPr>
      </w:pPr>
      <w:r>
        <w:rPr>
          <w:rFonts w:ascii="Arial" w:hAnsi="Arial" w:cs="Arial"/>
          <w:b/>
          <w:bCs/>
          <w:noProof/>
          <w:color w:val="1554C5"/>
          <w:sz w:val="26"/>
          <w:szCs w:val="26"/>
          <w:lang w:val="en-US"/>
        </w:rPr>
        <w:drawing>
          <wp:inline distT="0" distB="0" distL="0" distR="0" wp14:anchorId="01BEA36F" wp14:editId="09908BAE">
            <wp:extent cx="3086100" cy="1257300"/>
            <wp:effectExtent l="0" t="0" r="12700" b="12700"/>
            <wp:docPr id="5" name="Picture 5" descr="Macintosh HD:Users:gert:Desktop:Screen Shot 2015-01-26 at 10.27.4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gert:Desktop:Screen Shot 2015-01-26 at 10.27.47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BDCE3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554C5"/>
          <w:sz w:val="26"/>
          <w:szCs w:val="26"/>
          <w:lang w:val="en-US"/>
        </w:rPr>
      </w:pPr>
    </w:p>
    <w:p w14:paraId="5975B4B9" w14:textId="77777777" w:rsidR="00126EBB" w:rsidRDefault="001D3755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WIE DIT MAG</w:t>
      </w:r>
      <w:r w:rsidR="00126EBB"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</w:t>
      </w:r>
      <w:proofErr w:type="gramStart"/>
      <w:r w:rsidR="00126EBB"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AANGAAN .</w:t>
      </w:r>
      <w:proofErr w:type="gramEnd"/>
    </w:p>
    <w:p w14:paraId="13A30942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 </w:t>
      </w:r>
    </w:p>
    <w:p w14:paraId="70A6D99A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 </w:t>
      </w:r>
    </w:p>
    <w:p w14:paraId="4BF6E4BA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Wetgewing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mbt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Versender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en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Ontvanger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van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vragte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.</w:t>
      </w:r>
    </w:p>
    <w:p w14:paraId="59B1901B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 </w:t>
      </w:r>
    </w:p>
    <w:p w14:paraId="0BF2422A" w14:textId="77777777" w:rsidR="00126EBB" w:rsidRDefault="00126EBB" w:rsidP="00126EB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Agtergrond</w:t>
      </w:r>
      <w:proofErr w:type="spellEnd"/>
    </w:p>
    <w:p w14:paraId="67E0FD61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 </w:t>
      </w:r>
    </w:p>
    <w:p w14:paraId="3D654DF3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Die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Departement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van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Vervoer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het in 2003 ‘n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Nasionale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Oorlaai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Kontrole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Strategie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ontwikkel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wat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hoofsaaklik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fokus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op die </w:t>
      </w:r>
      <w:proofErr w:type="spellStart"/>
      <w:proofErr w:type="gramStart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>Versender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>(</w:t>
      </w:r>
      <w:proofErr w:type="gramEnd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>consignor)</w:t>
      </w: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en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>Ontvanger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>(consignee)</w:t>
      </w: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van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>goedere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>wat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 xml:space="preserve"> op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>openbare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>paaie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u w:val="single"/>
          <w:lang w:val="en-US"/>
        </w:rPr>
        <w:t>vervoer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word.</w:t>
      </w:r>
    </w:p>
    <w:p w14:paraId="726C49B4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3F5463D8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Die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Wetgewing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met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betrekking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tot die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Versender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en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Ontvanger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van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goedere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wat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op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openbare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paaie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vervoer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word is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vanaf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31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Januarie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2015 in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werking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.</w:t>
      </w:r>
    </w:p>
    <w:p w14:paraId="23872D36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13DE3EFF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Hiernaas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volg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gram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‘n</w:t>
      </w:r>
      <w:proofErr w:type="gram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kort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verduideliking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van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sekere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aspekte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van die Wet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wat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op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Kaap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Agri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van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toepassing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is.</w:t>
      </w:r>
    </w:p>
    <w:p w14:paraId="50236FF6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7A8B1A76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458328DD" w14:textId="77777777" w:rsidR="00126EBB" w:rsidRDefault="00126EBB" w:rsidP="00126EB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Definisies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.</w:t>
      </w:r>
    </w:p>
    <w:p w14:paraId="53C373D6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0C3FB283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proofErr w:type="spellStart"/>
      <w:proofErr w:type="gram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Ontvanger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(</w:t>
      </w:r>
      <w:proofErr w:type="gram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Consignee):  ‘n Person of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instansie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wat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meer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as 500mt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goedere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per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maand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ontvang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nadat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dit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op ‘n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openbare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pad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vervoer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is.</w:t>
      </w:r>
    </w:p>
    <w:p w14:paraId="02AFEFEF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32945AF9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proofErr w:type="spellStart"/>
      <w:proofErr w:type="gram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Versender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(</w:t>
      </w:r>
      <w:proofErr w:type="gram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Consignor):   ‘n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Persoon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of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instansie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wat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meer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as 500mt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goedere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per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maand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versend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,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voordat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dit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op ‘n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openbare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pad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vervoer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word.  Die Wet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bepaal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:  </w:t>
      </w:r>
      <w:r>
        <w:rPr>
          <w:rFonts w:ascii="Helvetica Light" w:hAnsi="Helvetica Light" w:cs="Helvetica Light"/>
          <w:i/>
          <w:iCs/>
          <w:color w:val="1554C5"/>
          <w:sz w:val="26"/>
          <w:szCs w:val="26"/>
          <w:lang w:val="en-US"/>
        </w:rPr>
        <w:t xml:space="preserve">“a person who has possession </w:t>
      </w:r>
      <w:proofErr w:type="gramStart"/>
      <w:r>
        <w:rPr>
          <w:rFonts w:ascii="Helvetica Light" w:hAnsi="Helvetica Light" w:cs="Helvetica Light"/>
          <w:i/>
          <w:iCs/>
          <w:color w:val="1554C5"/>
          <w:sz w:val="26"/>
          <w:szCs w:val="26"/>
          <w:lang w:val="en-US"/>
        </w:rPr>
        <w:t>of</w:t>
      </w:r>
      <w:proofErr w:type="gramEnd"/>
      <w:r>
        <w:rPr>
          <w:rFonts w:ascii="Helvetica Light" w:hAnsi="Helvetica Light" w:cs="Helvetica Light"/>
          <w:i/>
          <w:iCs/>
          <w:color w:val="1554C5"/>
          <w:sz w:val="26"/>
          <w:szCs w:val="26"/>
          <w:lang w:val="en-US"/>
        </w:rPr>
        <w:t>, or control over, the goods immediately before the goods are transported by road or loads a vehicle”</w:t>
      </w:r>
    </w:p>
    <w:p w14:paraId="0072D050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4FAE4CFA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6CCBEA56" w14:textId="77777777" w:rsidR="00126EBB" w:rsidRDefault="00126EBB" w:rsidP="00126EB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Ontvangs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en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versending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van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vragte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.</w:t>
      </w:r>
    </w:p>
    <w:p w14:paraId="65E9D08A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color w:val="1554C5"/>
          <w:sz w:val="26"/>
          <w:szCs w:val="26"/>
          <w:lang w:val="en-US"/>
        </w:rPr>
        <w:t> </w:t>
      </w:r>
    </w:p>
    <w:p w14:paraId="55F21C2B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color w:val="1554C5"/>
          <w:sz w:val="30"/>
          <w:szCs w:val="30"/>
          <w:lang w:val="en-US"/>
        </w:rPr>
      </w:pP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Goedere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mag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nie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gelaai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of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ontvang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word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indien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voertuig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waarop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dit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gelaai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is,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nie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volgens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voorskrifte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van die Wet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gelaai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is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nie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>;</w:t>
      </w:r>
    </w:p>
    <w:p w14:paraId="442F75E3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color w:val="1554C5"/>
          <w:sz w:val="26"/>
          <w:szCs w:val="26"/>
          <w:lang w:val="en-US"/>
        </w:rPr>
        <w:t> </w:t>
      </w:r>
    </w:p>
    <w:p w14:paraId="6BCA5E41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vervoerkontrakteur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moet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aan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Ontvanger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/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Versender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vrag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‘n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skriftelike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bewys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gee van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wat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wettige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laaimassa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(</w:t>
      </w:r>
      <w:proofErr w:type="spellStart"/>
      <w:proofErr w:type="gram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totale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vrag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en as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kombinasies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) van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betrokke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voertuig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is;</w:t>
      </w:r>
    </w:p>
    <w:p w14:paraId="4D8EC6D1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color w:val="1554C5"/>
          <w:sz w:val="26"/>
          <w:szCs w:val="26"/>
          <w:lang w:val="en-US"/>
        </w:rPr>
        <w:t> </w:t>
      </w:r>
    </w:p>
    <w:p w14:paraId="796E2CA5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color w:val="1554C5"/>
          <w:sz w:val="26"/>
          <w:szCs w:val="26"/>
          <w:lang w:val="en-US"/>
        </w:rPr>
        <w:lastRenderedPageBreak/>
        <w:t xml:space="preserve">Die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Versender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moet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bewys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1554C5"/>
          <w:sz w:val="26"/>
          <w:szCs w:val="26"/>
          <w:lang w:val="en-US"/>
        </w:rPr>
        <w:t>kan</w:t>
      </w:r>
      <w:proofErr w:type="spellEnd"/>
      <w:proofErr w:type="gram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lewer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dat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hy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nodige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stappe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geneem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het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om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voertuig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binne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voorskrifte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van die Wet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te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laai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>.</w:t>
      </w:r>
    </w:p>
    <w:p w14:paraId="12B3A54A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10D8B85D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Die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Versender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of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Ontvanger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moet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alle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redelike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stappe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neem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ten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einde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die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oorlaai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van ‘n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voertuig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te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verhoed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en in die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geval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van ‘n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vervolging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moet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die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Versender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of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Ontvanger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bewys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kan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lewer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van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stappe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wat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gevolg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is ten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einde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te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verhoed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dat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‘n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voertuig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oorlaai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word.</w:t>
      </w:r>
    </w:p>
    <w:p w14:paraId="65258F44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6CF6087B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35B03C4A" w14:textId="77777777" w:rsidR="00126EBB" w:rsidRDefault="00126EBB" w:rsidP="00126EB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Die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Versender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moet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‘n</w:t>
      </w:r>
      <w:proofErr w:type="gram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metode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hê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om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massa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van die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voertuig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te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bepaal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.</w:t>
      </w:r>
    </w:p>
    <w:p w14:paraId="4505A20C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color w:val="1554C5"/>
          <w:sz w:val="26"/>
          <w:szCs w:val="26"/>
          <w:lang w:val="en-US"/>
        </w:rPr>
        <w:t> </w:t>
      </w:r>
    </w:p>
    <w:p w14:paraId="042684EC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color w:val="1554C5"/>
          <w:sz w:val="26"/>
          <w:szCs w:val="26"/>
          <w:lang w:val="en-US"/>
        </w:rPr>
        <w:t xml:space="preserve">Die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Versender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moet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‘n </w:t>
      </w:r>
      <w:proofErr w:type="spellStart"/>
      <w:proofErr w:type="gramStart"/>
      <w:r>
        <w:rPr>
          <w:rFonts w:ascii="Arial" w:hAnsi="Arial" w:cs="Arial"/>
          <w:color w:val="1554C5"/>
          <w:sz w:val="26"/>
          <w:szCs w:val="26"/>
          <w:lang w:val="en-US"/>
        </w:rPr>
        <w:t>metode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>(</w:t>
      </w:r>
      <w:proofErr w:type="spellStart"/>
      <w:proofErr w:type="gramEnd"/>
      <w:r>
        <w:rPr>
          <w:rFonts w:ascii="Arial" w:hAnsi="Arial" w:cs="Arial"/>
          <w:color w:val="1554C5"/>
          <w:sz w:val="26"/>
          <w:szCs w:val="26"/>
          <w:lang w:val="en-US"/>
        </w:rPr>
        <w:t>bv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weegbrug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)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hê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om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totale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massa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en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massa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per as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kombinasie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te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bepaal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>;</w:t>
      </w:r>
    </w:p>
    <w:p w14:paraId="54C60E0D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 </w:t>
      </w:r>
    </w:p>
    <w:p w14:paraId="4D15EB07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color w:val="1554C5"/>
          <w:sz w:val="26"/>
          <w:szCs w:val="26"/>
          <w:lang w:val="en-US"/>
        </w:rPr>
        <w:t xml:space="preserve">Die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Versender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moet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rekords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van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elke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vrag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wat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van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sy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perseel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versend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is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vir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5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jaar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hou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>.</w:t>
      </w:r>
    </w:p>
    <w:p w14:paraId="5CE6515E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0ACC7D96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61FA8F53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645946F4" w14:textId="77777777" w:rsidR="00126EBB" w:rsidRDefault="00126EBB" w:rsidP="00126EB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Light" w:hAnsi="Helvetica Light" w:cs="Helvetica Light"/>
          <w:color w:val="FB0007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Dokumentasie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in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voertuig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.</w:t>
      </w:r>
    </w:p>
    <w:p w14:paraId="5003FCBF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 </w:t>
      </w:r>
    </w:p>
    <w:p w14:paraId="4403F9C3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‘</w:t>
      </w:r>
      <w:proofErr w:type="gram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n</w:t>
      </w:r>
      <w:proofErr w:type="gram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Voertuig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wat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goedere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vervoer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op ‘n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openbare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pad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moet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in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besit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wees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‘n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dokument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wat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volgende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inligting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vertoon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:</w:t>
      </w:r>
    </w:p>
    <w:p w14:paraId="67918787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 </w:t>
      </w:r>
    </w:p>
    <w:p w14:paraId="55093024" w14:textId="77777777" w:rsidR="00126EBB" w:rsidRDefault="00126EBB" w:rsidP="00126EBB">
      <w:pPr>
        <w:widowControl w:val="0"/>
        <w:autoSpaceDE w:val="0"/>
        <w:autoSpaceDN w:val="0"/>
        <w:adjustRightInd w:val="0"/>
        <w:ind w:left="1920" w:hanging="192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Symbol" w:hAnsi="Symbol" w:cs="Symbol"/>
          <w:color w:val="FB0007"/>
          <w:sz w:val="26"/>
          <w:szCs w:val="26"/>
          <w:lang w:val="en-US"/>
        </w:rPr>
        <w:t></w:t>
      </w:r>
      <w:r>
        <w:rPr>
          <w:rFonts w:ascii="Times New Roman" w:hAnsi="Times New Roman" w:cs="Times New Roman"/>
          <w:color w:val="FB0007"/>
          <w:sz w:val="20"/>
          <w:szCs w:val="20"/>
          <w:lang w:val="en-US"/>
        </w:rPr>
        <w:t xml:space="preserve">       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Lisensienommer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elke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voertuig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in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kombinasie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</w:t>
      </w:r>
      <w:proofErr w:type="spellStart"/>
      <w:proofErr w:type="gram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voertuie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(</w:t>
      </w:r>
      <w:proofErr w:type="spellStart"/>
      <w:proofErr w:type="gram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bv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voorhaker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;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sleepwa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1 en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sleepwa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2);</w:t>
      </w:r>
    </w:p>
    <w:p w14:paraId="5C88B6B5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 </w:t>
      </w:r>
    </w:p>
    <w:p w14:paraId="03D63199" w14:textId="77777777" w:rsidR="00126EBB" w:rsidRDefault="00126EBB" w:rsidP="00126EBB">
      <w:pPr>
        <w:widowControl w:val="0"/>
        <w:autoSpaceDE w:val="0"/>
        <w:autoSpaceDN w:val="0"/>
        <w:adjustRightInd w:val="0"/>
        <w:ind w:left="1920" w:hanging="192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Symbol" w:hAnsi="Symbol" w:cs="Symbol"/>
          <w:color w:val="FB0007"/>
          <w:sz w:val="26"/>
          <w:szCs w:val="26"/>
          <w:lang w:val="en-US"/>
        </w:rPr>
        <w:t></w:t>
      </w:r>
      <w:r>
        <w:rPr>
          <w:rFonts w:ascii="Times New Roman" w:hAnsi="Times New Roman" w:cs="Times New Roman"/>
          <w:color w:val="FB0007"/>
          <w:sz w:val="20"/>
          <w:szCs w:val="20"/>
          <w:lang w:val="en-US"/>
        </w:rPr>
        <w:t xml:space="preserve">        </w:t>
      </w:r>
      <w:proofErr w:type="gram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‘n</w:t>
      </w:r>
      <w:proofErr w:type="gram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Beskrywing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goedere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wat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vervoer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word en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massa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daarvan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;</w:t>
      </w:r>
    </w:p>
    <w:p w14:paraId="4B396704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 </w:t>
      </w:r>
    </w:p>
    <w:p w14:paraId="7431D346" w14:textId="77777777" w:rsidR="00126EBB" w:rsidRDefault="00126EBB" w:rsidP="00126EBB">
      <w:pPr>
        <w:widowControl w:val="0"/>
        <w:autoSpaceDE w:val="0"/>
        <w:autoSpaceDN w:val="0"/>
        <w:adjustRightInd w:val="0"/>
        <w:ind w:left="1920" w:hanging="192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Symbol" w:hAnsi="Symbol" w:cs="Symbol"/>
          <w:color w:val="FB0007"/>
          <w:sz w:val="26"/>
          <w:szCs w:val="26"/>
          <w:lang w:val="en-US"/>
        </w:rPr>
        <w:t></w:t>
      </w:r>
      <w:r>
        <w:rPr>
          <w:rFonts w:ascii="Times New Roman" w:hAnsi="Times New Roman" w:cs="Times New Roman"/>
          <w:color w:val="FB0007"/>
          <w:sz w:val="20"/>
          <w:szCs w:val="20"/>
          <w:lang w:val="en-US"/>
        </w:rPr>
        <w:t xml:space="preserve">        </w:t>
      </w:r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naam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,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woon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- en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posadres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in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geval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</w:t>
      </w:r>
      <w:proofErr w:type="gram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‘n</w:t>
      </w:r>
      <w:proofErr w:type="gram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natuurlike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persoon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of in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geval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‘n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regspersoon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naam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direkteur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verantwoordelik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:</w:t>
      </w:r>
    </w:p>
    <w:p w14:paraId="368327EE" w14:textId="77777777" w:rsidR="00126EBB" w:rsidRDefault="00126EBB" w:rsidP="00126EBB">
      <w:pPr>
        <w:widowControl w:val="0"/>
        <w:autoSpaceDE w:val="0"/>
        <w:autoSpaceDN w:val="0"/>
        <w:adjustRightInd w:val="0"/>
        <w:ind w:left="2880" w:hanging="288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Wingdings" w:hAnsi="Wingdings" w:cs="Wingdings" w:hint="eastAsia"/>
          <w:color w:val="FB0007"/>
          <w:sz w:val="26"/>
          <w:szCs w:val="26"/>
          <w:lang w:val="en-US"/>
        </w:rPr>
        <w:t>§</w:t>
      </w:r>
      <w:r>
        <w:rPr>
          <w:rFonts w:ascii="Times New Roman" w:hAnsi="Times New Roman" w:cs="Times New Roman"/>
          <w:color w:val="FB0007"/>
          <w:sz w:val="20"/>
          <w:szCs w:val="20"/>
          <w:lang w:val="en-US"/>
        </w:rPr>
        <w:t xml:space="preserve">  </w:t>
      </w:r>
      <w:proofErr w:type="spellStart"/>
      <w:proofErr w:type="gram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vervoerkontrakteur</w:t>
      </w:r>
      <w:proofErr w:type="spellEnd"/>
      <w:proofErr w:type="gramEnd"/>
    </w:p>
    <w:p w14:paraId="609FA6E8" w14:textId="77777777" w:rsidR="00126EBB" w:rsidRDefault="00126EBB" w:rsidP="00126EBB">
      <w:pPr>
        <w:widowControl w:val="0"/>
        <w:autoSpaceDE w:val="0"/>
        <w:autoSpaceDN w:val="0"/>
        <w:adjustRightInd w:val="0"/>
        <w:ind w:left="2880" w:hanging="288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Wingdings" w:hAnsi="Wingdings" w:cs="Wingdings" w:hint="eastAsia"/>
          <w:color w:val="FB0007"/>
          <w:sz w:val="26"/>
          <w:szCs w:val="26"/>
          <w:lang w:val="en-US"/>
        </w:rPr>
        <w:t>§</w:t>
      </w:r>
      <w:r>
        <w:rPr>
          <w:rFonts w:ascii="Times New Roman" w:hAnsi="Times New Roman" w:cs="Times New Roman"/>
          <w:color w:val="FB0007"/>
          <w:sz w:val="20"/>
          <w:szCs w:val="20"/>
          <w:lang w:val="en-US"/>
        </w:rPr>
        <w:t xml:space="preserve">  </w:t>
      </w:r>
      <w:proofErr w:type="spellStart"/>
      <w:proofErr w:type="gram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versender</w:t>
      </w:r>
      <w:proofErr w:type="spellEnd"/>
      <w:proofErr w:type="gram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vrag</w:t>
      </w:r>
      <w:proofErr w:type="spellEnd"/>
    </w:p>
    <w:p w14:paraId="67D2FD20" w14:textId="77777777" w:rsidR="00126EBB" w:rsidRDefault="00126EBB" w:rsidP="00126EBB">
      <w:pPr>
        <w:widowControl w:val="0"/>
        <w:autoSpaceDE w:val="0"/>
        <w:autoSpaceDN w:val="0"/>
        <w:adjustRightInd w:val="0"/>
        <w:ind w:left="2880" w:hanging="288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Wingdings" w:hAnsi="Wingdings" w:cs="Wingdings" w:hint="eastAsia"/>
          <w:color w:val="FB0007"/>
          <w:sz w:val="26"/>
          <w:szCs w:val="26"/>
          <w:lang w:val="en-US"/>
        </w:rPr>
        <w:t>§</w:t>
      </w:r>
      <w:r>
        <w:rPr>
          <w:rFonts w:ascii="Times New Roman" w:hAnsi="Times New Roman" w:cs="Times New Roman"/>
          <w:color w:val="FB0007"/>
          <w:sz w:val="20"/>
          <w:szCs w:val="20"/>
          <w:lang w:val="en-US"/>
        </w:rPr>
        <w:t xml:space="preserve">  </w:t>
      </w:r>
      <w:proofErr w:type="spellStart"/>
      <w:proofErr w:type="gram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ontvanger</w:t>
      </w:r>
      <w:proofErr w:type="spellEnd"/>
      <w:proofErr w:type="gram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(s) van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vrag</w:t>
      </w:r>
      <w:proofErr w:type="spellEnd"/>
    </w:p>
    <w:p w14:paraId="2445B594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 </w:t>
      </w:r>
    </w:p>
    <w:p w14:paraId="2153B965" w14:textId="77777777" w:rsidR="00126EBB" w:rsidRDefault="00126EBB" w:rsidP="00126EBB">
      <w:pPr>
        <w:widowControl w:val="0"/>
        <w:autoSpaceDE w:val="0"/>
        <w:autoSpaceDN w:val="0"/>
        <w:adjustRightInd w:val="0"/>
        <w:ind w:left="1920" w:hanging="192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Symbol" w:hAnsi="Symbol" w:cs="Symbol"/>
          <w:color w:val="FB0007"/>
          <w:sz w:val="26"/>
          <w:szCs w:val="26"/>
          <w:lang w:val="en-US"/>
        </w:rPr>
        <w:t></w:t>
      </w:r>
      <w:r>
        <w:rPr>
          <w:rFonts w:ascii="Times New Roman" w:hAnsi="Times New Roman" w:cs="Times New Roman"/>
          <w:color w:val="FB0007"/>
          <w:sz w:val="20"/>
          <w:szCs w:val="20"/>
          <w:lang w:val="en-US"/>
        </w:rPr>
        <w:t xml:space="preserve">       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Ooreenkoms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tussen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Versender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en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Vervoerkontrakteur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wat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volgende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bevat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:</w:t>
      </w:r>
    </w:p>
    <w:p w14:paraId="23FC2E3C" w14:textId="77777777" w:rsidR="00126EBB" w:rsidRDefault="00126EBB" w:rsidP="00126EBB">
      <w:pPr>
        <w:widowControl w:val="0"/>
        <w:autoSpaceDE w:val="0"/>
        <w:autoSpaceDN w:val="0"/>
        <w:adjustRightInd w:val="0"/>
        <w:ind w:left="2880" w:hanging="288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Wingdings" w:hAnsi="Wingdings" w:cs="Wingdings" w:hint="eastAsia"/>
          <w:color w:val="FB0007"/>
          <w:sz w:val="26"/>
          <w:szCs w:val="26"/>
          <w:lang w:val="en-US"/>
        </w:rPr>
        <w:t>§</w:t>
      </w:r>
      <w:r>
        <w:rPr>
          <w:rFonts w:ascii="Times New Roman" w:hAnsi="Times New Roman" w:cs="Times New Roman"/>
          <w:color w:val="FB0007"/>
          <w:sz w:val="20"/>
          <w:szCs w:val="20"/>
          <w:lang w:val="en-US"/>
        </w:rPr>
        <w:t xml:space="preserve">  </w:t>
      </w:r>
      <w:proofErr w:type="gram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die</w:t>
      </w:r>
      <w:proofErr w:type="gram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aard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ooreenkoms</w:t>
      </w:r>
      <w:proofErr w:type="spellEnd"/>
    </w:p>
    <w:p w14:paraId="1C8685C5" w14:textId="77777777" w:rsidR="00126EBB" w:rsidRDefault="00126EBB" w:rsidP="00126EBB">
      <w:pPr>
        <w:widowControl w:val="0"/>
        <w:autoSpaceDE w:val="0"/>
        <w:autoSpaceDN w:val="0"/>
        <w:adjustRightInd w:val="0"/>
        <w:ind w:left="2880" w:hanging="288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Wingdings" w:hAnsi="Wingdings" w:cs="Wingdings" w:hint="eastAsia"/>
          <w:color w:val="FB0007"/>
          <w:sz w:val="26"/>
          <w:szCs w:val="26"/>
          <w:lang w:val="en-US"/>
        </w:rPr>
        <w:t>§</w:t>
      </w:r>
      <w:r>
        <w:rPr>
          <w:rFonts w:ascii="Times New Roman" w:hAnsi="Times New Roman" w:cs="Times New Roman"/>
          <w:color w:val="FB0007"/>
          <w:sz w:val="20"/>
          <w:szCs w:val="20"/>
          <w:lang w:val="en-US"/>
        </w:rPr>
        <w:t xml:space="preserve">  </w:t>
      </w:r>
      <w:proofErr w:type="spellStart"/>
      <w:proofErr w:type="gram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laai</w:t>
      </w:r>
      <w:proofErr w:type="spellEnd"/>
      <w:proofErr w:type="gram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instruksies</w:t>
      </w:r>
      <w:proofErr w:type="spellEnd"/>
    </w:p>
    <w:p w14:paraId="6FC6A577" w14:textId="77777777" w:rsidR="00126EBB" w:rsidRDefault="00126EBB" w:rsidP="00126EBB">
      <w:pPr>
        <w:widowControl w:val="0"/>
        <w:autoSpaceDE w:val="0"/>
        <w:autoSpaceDN w:val="0"/>
        <w:adjustRightInd w:val="0"/>
        <w:ind w:left="2880" w:hanging="288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Wingdings" w:hAnsi="Wingdings" w:cs="Wingdings" w:hint="eastAsia"/>
          <w:color w:val="FB0007"/>
          <w:sz w:val="26"/>
          <w:szCs w:val="26"/>
          <w:lang w:val="en-US"/>
        </w:rPr>
        <w:t>§</w:t>
      </w:r>
      <w:r>
        <w:rPr>
          <w:rFonts w:ascii="Times New Roman" w:hAnsi="Times New Roman" w:cs="Times New Roman"/>
          <w:color w:val="FB0007"/>
          <w:sz w:val="20"/>
          <w:szCs w:val="20"/>
          <w:lang w:val="en-US"/>
        </w:rPr>
        <w:t xml:space="preserve">  </w:t>
      </w:r>
      <w:proofErr w:type="spellStart"/>
      <w:proofErr w:type="gram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verantwoordelikheid</w:t>
      </w:r>
      <w:proofErr w:type="spellEnd"/>
      <w:proofErr w:type="gram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elke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party.</w:t>
      </w:r>
    </w:p>
    <w:p w14:paraId="32C6AA56" w14:textId="77777777" w:rsidR="00126EBB" w:rsidRDefault="00126EBB" w:rsidP="00126EBB">
      <w:pPr>
        <w:widowControl w:val="0"/>
        <w:autoSpaceDE w:val="0"/>
        <w:autoSpaceDN w:val="0"/>
        <w:adjustRightInd w:val="0"/>
        <w:ind w:left="2880" w:hanging="288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Wingdings" w:hAnsi="Wingdings" w:cs="Wingdings" w:hint="eastAsia"/>
          <w:color w:val="FB0007"/>
          <w:sz w:val="26"/>
          <w:szCs w:val="26"/>
          <w:lang w:val="en-US"/>
        </w:rPr>
        <w:t>§</w:t>
      </w:r>
      <w:r>
        <w:rPr>
          <w:rFonts w:ascii="Times New Roman" w:hAnsi="Times New Roman" w:cs="Times New Roman"/>
          <w:color w:val="FB0007"/>
          <w:sz w:val="20"/>
          <w:szCs w:val="20"/>
          <w:lang w:val="en-US"/>
        </w:rPr>
        <w:t xml:space="preserve">  </w:t>
      </w:r>
      <w:proofErr w:type="spellStart"/>
      <w:proofErr w:type="gram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besonderhede</w:t>
      </w:r>
      <w:proofErr w:type="spellEnd"/>
      <w:proofErr w:type="gram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versekering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vrag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.</w:t>
      </w:r>
    </w:p>
    <w:p w14:paraId="0A81727F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 </w:t>
      </w:r>
    </w:p>
    <w:p w14:paraId="23123008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 </w:t>
      </w:r>
    </w:p>
    <w:p w14:paraId="0BC957BC" w14:textId="77777777" w:rsidR="00126EBB" w:rsidRDefault="00126EBB" w:rsidP="00126EBB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Light" w:hAnsi="Helvetica Light" w:cs="Helvetica Light"/>
          <w:color w:val="FB0007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Versekering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.</w:t>
      </w:r>
    </w:p>
    <w:p w14:paraId="46377CF2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 </w:t>
      </w:r>
    </w:p>
    <w:p w14:paraId="59C12BDA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Versender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of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Ontvanger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goedere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mag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nie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goedere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versend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of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ontvang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alvorens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vervoer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daarvan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nie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ten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volle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verseker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is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vir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skade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wat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veroorsaak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kan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word in die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geval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van ‘n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insident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nie</w:t>
      </w:r>
      <w:proofErr w:type="spellEnd"/>
      <w:r>
        <w:rPr>
          <w:rFonts w:ascii="Arial" w:hAnsi="Arial" w:cs="Arial"/>
          <w:b/>
          <w:bCs/>
          <w:color w:val="FB0007"/>
          <w:sz w:val="26"/>
          <w:szCs w:val="26"/>
          <w:lang w:val="en-US"/>
        </w:rPr>
        <w:t>.</w:t>
      </w:r>
    </w:p>
    <w:p w14:paraId="62BC1F2A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  <w:bookmarkStart w:id="0" w:name="_GoBack"/>
      <w:bookmarkEnd w:id="0"/>
    </w:p>
    <w:p w14:paraId="66046758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51FD9A0C" w14:textId="77777777" w:rsidR="00126EBB" w:rsidRDefault="00126EBB" w:rsidP="00126EBB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Opleiding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.</w:t>
      </w:r>
    </w:p>
    <w:p w14:paraId="090B9A9A" w14:textId="77777777" w:rsidR="00126EBB" w:rsidRDefault="00126EBB" w:rsidP="00126EBB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 </w:t>
      </w:r>
    </w:p>
    <w:p w14:paraId="1D36AA10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rPr>
          <w:rFonts w:ascii="Arial" w:hAnsi="Arial" w:cs="Arial"/>
          <w:color w:val="1554C5"/>
          <w:sz w:val="30"/>
          <w:szCs w:val="30"/>
          <w:lang w:val="en-US"/>
        </w:rPr>
      </w:pPr>
      <w:r>
        <w:rPr>
          <w:rFonts w:ascii="Arial" w:hAnsi="Arial" w:cs="Arial"/>
          <w:color w:val="1554C5"/>
          <w:sz w:val="26"/>
          <w:szCs w:val="26"/>
          <w:lang w:val="en-US"/>
        </w:rPr>
        <w:t xml:space="preserve">Die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Versender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en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Ontvanger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moet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bewys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lewer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dat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sy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personeel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opleiding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ontvang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het in die </w:t>
      </w:r>
      <w:proofErr w:type="spellStart"/>
      <w:r>
        <w:rPr>
          <w:rFonts w:ascii="Arial" w:hAnsi="Arial" w:cs="Arial"/>
          <w:color w:val="1554C5"/>
          <w:sz w:val="26"/>
          <w:szCs w:val="26"/>
          <w:lang w:val="en-US"/>
        </w:rPr>
        <w:t>bepalings</w:t>
      </w:r>
      <w:proofErr w:type="spellEnd"/>
      <w:r>
        <w:rPr>
          <w:rFonts w:ascii="Arial" w:hAnsi="Arial" w:cs="Arial"/>
          <w:color w:val="1554C5"/>
          <w:sz w:val="26"/>
          <w:szCs w:val="26"/>
          <w:lang w:val="en-US"/>
        </w:rPr>
        <w:t xml:space="preserve"> van die Wet.</w:t>
      </w:r>
    </w:p>
    <w:p w14:paraId="5526F06B" w14:textId="77777777" w:rsidR="00126EBB" w:rsidRDefault="00126EBB" w:rsidP="00126EBB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51E21316" w14:textId="77777777" w:rsidR="00126EBB" w:rsidRDefault="00126EBB" w:rsidP="00126EBB">
      <w:pPr>
        <w:widowControl w:val="0"/>
        <w:autoSpaceDE w:val="0"/>
        <w:autoSpaceDN w:val="0"/>
        <w:adjustRightInd w:val="0"/>
        <w:ind w:left="480" w:hanging="48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69030124" w14:textId="77777777" w:rsidR="00126EBB" w:rsidRDefault="00126EBB" w:rsidP="00126EBB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Inspeksies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.</w:t>
      </w:r>
    </w:p>
    <w:p w14:paraId="334FAD3A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12B55A2C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Die Minister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kan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‘n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verkeersbeampte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of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enige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persoon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magtig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om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inspeksies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uit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te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voer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ten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einde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vas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te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stel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of ‘n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instansie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die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bepalings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van die Wet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nakom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.</w:t>
      </w:r>
    </w:p>
    <w:p w14:paraId="52510421" w14:textId="77777777" w:rsidR="00126EBB" w:rsidRDefault="00126EBB" w:rsidP="00126EBB">
      <w:pPr>
        <w:widowControl w:val="0"/>
        <w:autoSpaceDE w:val="0"/>
        <w:autoSpaceDN w:val="0"/>
        <w:adjustRightInd w:val="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09183E08" w14:textId="77777777" w:rsidR="00126EBB" w:rsidRDefault="00126EBB" w:rsidP="00126EBB">
      <w:pPr>
        <w:widowControl w:val="0"/>
        <w:autoSpaceDE w:val="0"/>
        <w:autoSpaceDN w:val="0"/>
        <w:adjustRightInd w:val="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02107CCC" w14:textId="77777777" w:rsidR="00126EBB" w:rsidRDefault="00126EBB" w:rsidP="00126EBB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Oortredings</w:t>
      </w:r>
      <w:proofErr w:type="spellEnd"/>
      <w:r>
        <w:rPr>
          <w:rFonts w:ascii="Arial" w:hAnsi="Arial" w:cs="Arial"/>
          <w:b/>
          <w:bCs/>
          <w:color w:val="1554C5"/>
          <w:sz w:val="26"/>
          <w:szCs w:val="26"/>
          <w:lang w:val="en-US"/>
        </w:rPr>
        <w:t>.</w:t>
      </w:r>
    </w:p>
    <w:p w14:paraId="4D9040F3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321895E1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R40 000 is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gelyk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aan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1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jaar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gevangenis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straf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.</w:t>
      </w:r>
    </w:p>
    <w:p w14:paraId="743A9CEC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07A2EED1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Maksimum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straf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:  R240 000 of </w:t>
      </w:r>
      <w:proofErr w:type="gram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6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jaar</w:t>
      </w:r>
      <w:proofErr w:type="spellEnd"/>
      <w:proofErr w:type="gram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gevangenis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 xml:space="preserve"> </w:t>
      </w:r>
      <w:proofErr w:type="spellStart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straf</w:t>
      </w:r>
      <w:proofErr w:type="spellEnd"/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.</w:t>
      </w:r>
    </w:p>
    <w:p w14:paraId="10B07CC1" w14:textId="77777777" w:rsidR="00126EBB" w:rsidRDefault="00126EBB" w:rsidP="00126EBB">
      <w:pPr>
        <w:widowControl w:val="0"/>
        <w:autoSpaceDE w:val="0"/>
        <w:autoSpaceDN w:val="0"/>
        <w:adjustRightInd w:val="0"/>
        <w:ind w:left="960" w:hanging="960"/>
        <w:jc w:val="both"/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5DAEADC3" w14:textId="77777777" w:rsidR="00691590" w:rsidRDefault="00126EBB" w:rsidP="00126EBB">
      <w:pPr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  <w:r>
        <w:rPr>
          <w:rFonts w:ascii="Helvetica Light" w:hAnsi="Helvetica Light" w:cs="Helvetica Light"/>
          <w:color w:val="1554C5"/>
          <w:sz w:val="26"/>
          <w:szCs w:val="26"/>
          <w:lang w:val="en-US"/>
        </w:rPr>
        <w:t> </w:t>
      </w:r>
    </w:p>
    <w:p w14:paraId="114CEDC8" w14:textId="77777777" w:rsidR="00126EBB" w:rsidRDefault="00126EBB" w:rsidP="00126EBB">
      <w:pPr>
        <w:rPr>
          <w:rFonts w:ascii="Helvetica Light" w:hAnsi="Helvetica Light" w:cs="Helvetica Light"/>
          <w:color w:val="1554C5"/>
          <w:sz w:val="26"/>
          <w:szCs w:val="26"/>
          <w:lang w:val="en-US"/>
        </w:rPr>
      </w:pPr>
    </w:p>
    <w:p w14:paraId="4F4AC043" w14:textId="77777777" w:rsidR="00126EBB" w:rsidRDefault="00126EBB" w:rsidP="00126EBB">
      <w:r>
        <w:rPr>
          <w:rFonts w:ascii="Helvetica Light" w:hAnsi="Helvetica Light" w:cs="Helvetica Light"/>
          <w:noProof/>
          <w:color w:val="1554C5"/>
          <w:sz w:val="26"/>
          <w:szCs w:val="26"/>
          <w:lang w:val="en-US"/>
        </w:rPr>
        <w:drawing>
          <wp:inline distT="0" distB="0" distL="0" distR="0" wp14:anchorId="094B4817" wp14:editId="28195577">
            <wp:extent cx="1828800" cy="914400"/>
            <wp:effectExtent l="0" t="0" r="0" b="0"/>
            <wp:docPr id="2" name="Picture 2" descr="Macintosh HD:Users:gert:Desktop:Screen Shot 2015-01-26 at 10.27.1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rt:Desktop:Screen Shot 2015-01-26 at 10.27.14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6EBB" w:rsidSect="0069159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6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7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8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9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BB"/>
    <w:rsid w:val="00126EBB"/>
    <w:rsid w:val="001D3755"/>
    <w:rsid w:val="0069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594D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E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B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E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B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521</Words>
  <Characters>2973</Characters>
  <Application>Microsoft Macintosh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Van Schalkwyk</dc:creator>
  <cp:keywords/>
  <dc:description/>
  <cp:lastModifiedBy>Gert Van Schalkwyk</cp:lastModifiedBy>
  <cp:revision>2</cp:revision>
  <cp:lastPrinted>2015-02-16T08:07:00Z</cp:lastPrinted>
  <dcterms:created xsi:type="dcterms:W3CDTF">2015-02-16T08:01:00Z</dcterms:created>
  <dcterms:modified xsi:type="dcterms:W3CDTF">2015-02-16T13:24:00Z</dcterms:modified>
</cp:coreProperties>
</file>